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9FF" w:rsidRDefault="00B07DC2">
      <w:r>
        <w:t xml:space="preserve">It is my humble opinion, that students be assessed as an individual and best practices be used to scaffold their learning to help reach their maximum learning potential. Students should not to memorize concepts or skills merely for knowledge sake, but construct a deeper understanding of concepts with the ability to apply their knowledge to real life situations. Students can build their schema with their peers as they create a learning community. Each diversity respresented in the classroom becomes a positive resource for the group as a whole. For students who may struggle to reach curricular goals, best practices used as interventions should be monitored and adjusted as the student is supported and observed. As a teacher, I am a fellow learner and an example to my students as we journey together supporting what we already know, asking the right questions, learning from the discoveries of their peers, and applying what we have learned. The highest form of learning is teaching, it is my goal that my students can in turn teach others and soar above and beyond the standards set before them with the use of curricular tools as well as with technology. </w:t>
      </w:r>
    </w:p>
    <w:p w:rsidR="00B07DC2" w:rsidRDefault="00B07DC2"/>
    <w:p w:rsidR="00B07DC2" w:rsidRDefault="00B07DC2"/>
    <w:p w:rsidR="00B07DC2" w:rsidRDefault="00B07DC2">
      <w:r>
        <w:t xml:space="preserve">As with the expectations with the Next Generation Sunshine State Standards that I am accustomed to in Florida, I know that </w:t>
      </w:r>
      <w:r w:rsidR="00A21B08">
        <w:t xml:space="preserve">following the Core Standards will be no different, we expect students to soar above and beyond what is set before them. I am excited to pursue a level of global excellence with the work that my future students would pursue and create. After reading Juneau District’s Mission Statement, it is clear that diagnostic driven-teaching is commonality that is shared with my previous experiences. I am glad to see that teachers are encouraged to know their students and their individual strengths and weaknesses before going forward with best practices and interventions. </w:t>
      </w:r>
    </w:p>
    <w:p w:rsidR="00A21B08" w:rsidRDefault="00A21B08">
      <w:r>
        <w:t xml:space="preserve">Response to Intervention has been an enormous focus of my district over this last school year. We have spent the last year in Duval County refining our best practices, working on early interventions, and fine tuning the way we monitor and support the learning success of our students. I am encouraged to join a learning community that is passionate about supporting the maximum learning potential of each and every student. As we say at Chets Creek, “The sky is the limit!” </w:t>
      </w:r>
    </w:p>
    <w:sectPr w:rsidR="00A21B08" w:rsidSect="002B1A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07DC2"/>
    <w:rsid w:val="002B1A1C"/>
    <w:rsid w:val="00840C08"/>
    <w:rsid w:val="00A21B08"/>
    <w:rsid w:val="00B07DC2"/>
    <w:rsid w:val="00C24C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A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dc:creator>
  <cp:lastModifiedBy>Zach</cp:lastModifiedBy>
  <cp:revision>1</cp:revision>
  <dcterms:created xsi:type="dcterms:W3CDTF">2011-07-18T21:50:00Z</dcterms:created>
  <dcterms:modified xsi:type="dcterms:W3CDTF">2011-07-18T22:12:00Z</dcterms:modified>
</cp:coreProperties>
</file>